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2952"/>
        <w:gridCol w:w="5904"/>
      </w:tblGrid>
      <w:tr w:rsidR="00C61D48" w:rsidTr="00AF0958">
        <w:tc>
          <w:tcPr>
            <w:tcW w:w="8856" w:type="dxa"/>
            <w:gridSpan w:val="2"/>
            <w:shd w:val="clear" w:color="auto" w:fill="C4BC96" w:themeFill="background2" w:themeFillShade="BF"/>
          </w:tcPr>
          <w:p w:rsidR="00C61D48" w:rsidRDefault="00C61D48" w:rsidP="00C61D48">
            <w:pPr>
              <w:jc w:val="center"/>
              <w:rPr>
                <w:b/>
              </w:rPr>
            </w:pPr>
            <w:r w:rsidRPr="00C61D48">
              <w:rPr>
                <w:b/>
              </w:rPr>
              <w:t>First Language (L1) Acquisition</w:t>
            </w:r>
          </w:p>
          <w:p w:rsidR="00C61D48" w:rsidRPr="00C61D48" w:rsidRDefault="00C61D48" w:rsidP="00C61D48">
            <w:pPr>
              <w:jc w:val="center"/>
              <w:rPr>
                <w:b/>
              </w:rPr>
            </w:pPr>
          </w:p>
        </w:tc>
      </w:tr>
      <w:tr w:rsidR="00C61D48">
        <w:tc>
          <w:tcPr>
            <w:tcW w:w="2952" w:type="dxa"/>
          </w:tcPr>
          <w:p w:rsidR="00C61D48" w:rsidRPr="001B01E0" w:rsidRDefault="00C61D48" w:rsidP="00C61D48">
            <w:pPr>
              <w:jc w:val="center"/>
              <w:rPr>
                <w:b/>
              </w:rPr>
            </w:pPr>
            <w:r w:rsidRPr="001B01E0">
              <w:rPr>
                <w:b/>
              </w:rPr>
              <w:t>Factor</w:t>
            </w:r>
          </w:p>
        </w:tc>
        <w:tc>
          <w:tcPr>
            <w:tcW w:w="5904" w:type="dxa"/>
          </w:tcPr>
          <w:p w:rsidR="00C61D48" w:rsidRPr="001B01E0" w:rsidRDefault="001B01E0" w:rsidP="00C61D48">
            <w:pPr>
              <w:jc w:val="center"/>
              <w:rPr>
                <w:b/>
              </w:rPr>
            </w:pPr>
            <w:r>
              <w:rPr>
                <w:b/>
              </w:rPr>
              <w:t xml:space="preserve">Questions </w:t>
            </w:r>
            <w:r w:rsidR="00C61D48" w:rsidRPr="001B01E0">
              <w:rPr>
                <w:b/>
              </w:rPr>
              <w:t>to Address</w:t>
            </w:r>
          </w:p>
          <w:p w:rsidR="00C61D48" w:rsidRPr="001B01E0" w:rsidRDefault="00C61D48" w:rsidP="00C61D48">
            <w:pPr>
              <w:jc w:val="center"/>
              <w:rPr>
                <w:b/>
              </w:rPr>
            </w:pPr>
          </w:p>
        </w:tc>
      </w:tr>
      <w:tr w:rsidR="00C61D48">
        <w:tc>
          <w:tcPr>
            <w:tcW w:w="2952" w:type="dxa"/>
          </w:tcPr>
          <w:p w:rsidR="00C61D48" w:rsidRDefault="00C61D48" w:rsidP="00AF0958">
            <w:r w:rsidRPr="005C0DD9">
              <w:rPr>
                <w:b/>
              </w:rPr>
              <w:t>Age</w:t>
            </w:r>
            <w:r w:rsidR="00AF0958" w:rsidRPr="005C0DD9">
              <w:rPr>
                <w:b/>
              </w:rPr>
              <w:t>:</w:t>
            </w:r>
            <w:r w:rsidR="00AF0958">
              <w:t xml:space="preserve"> When does language acquisition begin and how does it progress?</w:t>
            </w:r>
          </w:p>
        </w:tc>
        <w:tc>
          <w:tcPr>
            <w:tcW w:w="5904" w:type="dxa"/>
          </w:tcPr>
          <w:p w:rsidR="00C61D48" w:rsidRDefault="00FF0B40" w:rsidP="00AF0958">
            <w:pPr>
              <w:pStyle w:val="ListParagraph"/>
              <w:ind w:left="360"/>
            </w:pPr>
            <w:r>
              <w:t>From birth,</w:t>
            </w:r>
            <w:r w:rsidR="00735F49">
              <w:t xml:space="preserve"> </w:t>
            </w:r>
            <w:r w:rsidR="008F4FB4">
              <w:t>L1</w:t>
            </w:r>
            <w:r w:rsidR="004D4AE5">
              <w:t xml:space="preserve"> is being acquired. B</w:t>
            </w:r>
            <w:r w:rsidR="00735F49">
              <w:t>abies communicate in some form beginning with crying or fussing.</w:t>
            </w:r>
            <w:r w:rsidR="00E76105">
              <w:t xml:space="preserve"> </w:t>
            </w:r>
            <w:r w:rsidR="008F4FB4">
              <w:t>As they grow, sounds</w:t>
            </w:r>
            <w:r w:rsidR="00E76105">
              <w:t xml:space="preserve"> represent</w:t>
            </w:r>
            <w:r w:rsidR="008F4FB4">
              <w:t xml:space="preserve"> words, then come words, phrases, and sentences</w:t>
            </w:r>
            <w:r w:rsidR="00E76105">
              <w:t>. The</w:t>
            </w:r>
            <w:r w:rsidR="008F4FB4">
              <w:t xml:space="preserve"> understanding of L1</w:t>
            </w:r>
            <w:r w:rsidR="00E76105">
              <w:t xml:space="preserve"> develops much faster than communication a language. </w:t>
            </w:r>
            <w:r w:rsidR="008F4FB4">
              <w:t xml:space="preserve">The process of L1 acquisition is very rapid. </w:t>
            </w:r>
          </w:p>
        </w:tc>
      </w:tr>
      <w:tr w:rsidR="00AF0958" w:rsidTr="00AF0958">
        <w:tc>
          <w:tcPr>
            <w:tcW w:w="2952" w:type="dxa"/>
            <w:shd w:val="clear" w:color="auto" w:fill="C4BC96" w:themeFill="background2" w:themeFillShade="BF"/>
          </w:tcPr>
          <w:p w:rsidR="00AF0958" w:rsidRDefault="00AF0958" w:rsidP="00AF0958"/>
        </w:tc>
        <w:tc>
          <w:tcPr>
            <w:tcW w:w="5904" w:type="dxa"/>
            <w:shd w:val="clear" w:color="auto" w:fill="C4BC96" w:themeFill="background2" w:themeFillShade="BF"/>
          </w:tcPr>
          <w:p w:rsidR="00AF0958" w:rsidRDefault="00AF0958" w:rsidP="00AF0958">
            <w:pPr>
              <w:pStyle w:val="ListParagraph"/>
              <w:ind w:left="360"/>
            </w:pPr>
          </w:p>
        </w:tc>
      </w:tr>
      <w:tr w:rsidR="00C61D48">
        <w:tc>
          <w:tcPr>
            <w:tcW w:w="2952" w:type="dxa"/>
          </w:tcPr>
          <w:p w:rsidR="00C61D48" w:rsidRDefault="00C61D48" w:rsidP="00AF0958">
            <w:r w:rsidRPr="005C0DD9">
              <w:rPr>
                <w:b/>
              </w:rPr>
              <w:t>Sound System</w:t>
            </w:r>
            <w:r w:rsidR="00AF0958" w:rsidRPr="005C0DD9">
              <w:rPr>
                <w:b/>
              </w:rPr>
              <w:t>:</w:t>
            </w:r>
            <w:r w:rsidR="00AF0958">
              <w:t xml:space="preserve">  How do young children learn the L1 sound system and the rules of the native language?</w:t>
            </w:r>
          </w:p>
        </w:tc>
        <w:tc>
          <w:tcPr>
            <w:tcW w:w="5904" w:type="dxa"/>
          </w:tcPr>
          <w:p w:rsidR="00FF0B40" w:rsidRDefault="00E76105" w:rsidP="00AF0958">
            <w:pPr>
              <w:pStyle w:val="ListParagraph"/>
              <w:ind w:left="360"/>
            </w:pPr>
            <w:r>
              <w:t>Children learn the rules and sound system of a first language purely by acquisition. Our brains are ready to store and process a language. Listening and processing everything around them allows that language to develop. Children c</w:t>
            </w:r>
            <w:r w:rsidR="008F4FB4">
              <w:t xml:space="preserve">an understand complex rules, </w:t>
            </w:r>
            <w:r>
              <w:t>syntax</w:t>
            </w:r>
            <w:r w:rsidR="008F4FB4">
              <w:t>,</w:t>
            </w:r>
            <w:r>
              <w:t xml:space="preserve"> and use grammar without ever being taught. </w:t>
            </w:r>
          </w:p>
        </w:tc>
      </w:tr>
      <w:tr w:rsidR="00AF0958" w:rsidTr="00AF0958">
        <w:tc>
          <w:tcPr>
            <w:tcW w:w="2952" w:type="dxa"/>
            <w:shd w:val="clear" w:color="auto" w:fill="C4BC96" w:themeFill="background2" w:themeFillShade="BF"/>
          </w:tcPr>
          <w:p w:rsidR="00AF0958" w:rsidRDefault="00AF0958" w:rsidP="00AF0958"/>
        </w:tc>
        <w:tc>
          <w:tcPr>
            <w:tcW w:w="5904" w:type="dxa"/>
            <w:shd w:val="clear" w:color="auto" w:fill="C4BC96" w:themeFill="background2" w:themeFillShade="BF"/>
          </w:tcPr>
          <w:p w:rsidR="00AF0958" w:rsidRDefault="00AF0958" w:rsidP="00AF0958">
            <w:pPr>
              <w:pStyle w:val="ListParagraph"/>
              <w:ind w:left="360"/>
            </w:pPr>
          </w:p>
        </w:tc>
      </w:tr>
      <w:tr w:rsidR="00C61D48">
        <w:tc>
          <w:tcPr>
            <w:tcW w:w="2952" w:type="dxa"/>
          </w:tcPr>
          <w:p w:rsidR="00C61D48" w:rsidRDefault="00C61D48" w:rsidP="00AF0958">
            <w:r w:rsidRPr="005C0DD9">
              <w:rPr>
                <w:b/>
              </w:rPr>
              <w:t>Learning Environment</w:t>
            </w:r>
            <w:r w:rsidR="00AF0958" w:rsidRPr="005C0DD9">
              <w:rPr>
                <w:b/>
              </w:rPr>
              <w:t>:</w:t>
            </w:r>
            <w:r w:rsidR="00AF0958">
              <w:t xml:space="preserve"> Where does L1 take place and under what conditions and circumstances does early language learning occur?</w:t>
            </w:r>
          </w:p>
        </w:tc>
        <w:tc>
          <w:tcPr>
            <w:tcW w:w="5904" w:type="dxa"/>
          </w:tcPr>
          <w:p w:rsidR="00C61D48" w:rsidRDefault="001E70C8" w:rsidP="00AF0958">
            <w:pPr>
              <w:pStyle w:val="ListParagraph"/>
              <w:ind w:left="360"/>
            </w:pPr>
            <w:r>
              <w:t xml:space="preserve">L1 takes places in the home, in school, and surrounding environment if in the country where L1 is the national language. </w:t>
            </w:r>
          </w:p>
          <w:p w:rsidR="001E70C8" w:rsidRDefault="001E70C8" w:rsidP="00AF0958">
            <w:pPr>
              <w:pStyle w:val="ListParagraph"/>
              <w:ind w:left="360"/>
            </w:pPr>
            <w:r>
              <w:t>For ESL students, L1 takes place in the home</w:t>
            </w:r>
            <w:r w:rsidR="008F4FB4">
              <w:t>, within the family,</w:t>
            </w:r>
            <w:r>
              <w:t xml:space="preserve"> and sometimes in the surrounding community.</w:t>
            </w:r>
          </w:p>
        </w:tc>
      </w:tr>
      <w:tr w:rsidR="00C61D48" w:rsidTr="00AF0958">
        <w:tc>
          <w:tcPr>
            <w:tcW w:w="8856" w:type="dxa"/>
            <w:gridSpan w:val="2"/>
            <w:shd w:val="clear" w:color="auto" w:fill="C4BC96" w:themeFill="background2" w:themeFillShade="BF"/>
          </w:tcPr>
          <w:p w:rsidR="00C61D48" w:rsidRDefault="00C61D48" w:rsidP="00C61D48">
            <w:r>
              <w:t xml:space="preserve"> </w:t>
            </w:r>
          </w:p>
          <w:p w:rsidR="00C61D48" w:rsidRDefault="00C61D48" w:rsidP="00C61D48">
            <w:pPr>
              <w:jc w:val="center"/>
              <w:rPr>
                <w:b/>
              </w:rPr>
            </w:pPr>
            <w:r w:rsidRPr="00C61D48">
              <w:rPr>
                <w:b/>
              </w:rPr>
              <w:t>Second Language (L2) Acquis</w:t>
            </w:r>
            <w:r w:rsidR="001B01E0">
              <w:rPr>
                <w:b/>
              </w:rPr>
              <w:t>i</w:t>
            </w:r>
            <w:r w:rsidRPr="00C61D48">
              <w:rPr>
                <w:b/>
              </w:rPr>
              <w:t>tion</w:t>
            </w:r>
          </w:p>
          <w:p w:rsidR="00C61D48" w:rsidRPr="00C61D48" w:rsidRDefault="00C61D48" w:rsidP="00C61D48">
            <w:pPr>
              <w:jc w:val="center"/>
              <w:rPr>
                <w:b/>
              </w:rPr>
            </w:pPr>
          </w:p>
        </w:tc>
      </w:tr>
      <w:tr w:rsidR="001B01E0">
        <w:tc>
          <w:tcPr>
            <w:tcW w:w="2952" w:type="dxa"/>
          </w:tcPr>
          <w:p w:rsidR="001B01E0" w:rsidRPr="001B01E0" w:rsidRDefault="001B01E0" w:rsidP="00C61D48">
            <w:pPr>
              <w:jc w:val="center"/>
              <w:rPr>
                <w:b/>
              </w:rPr>
            </w:pPr>
            <w:r w:rsidRPr="001B01E0">
              <w:rPr>
                <w:b/>
              </w:rPr>
              <w:t>Factor</w:t>
            </w:r>
          </w:p>
        </w:tc>
        <w:tc>
          <w:tcPr>
            <w:tcW w:w="5904" w:type="dxa"/>
          </w:tcPr>
          <w:p w:rsidR="001B01E0" w:rsidRDefault="001B01E0" w:rsidP="00C61D48">
            <w:pPr>
              <w:jc w:val="center"/>
              <w:rPr>
                <w:b/>
              </w:rPr>
            </w:pPr>
            <w:r>
              <w:rPr>
                <w:b/>
              </w:rPr>
              <w:t>Questions to Address</w:t>
            </w:r>
          </w:p>
          <w:p w:rsidR="001B01E0" w:rsidRPr="001B01E0" w:rsidRDefault="001B01E0" w:rsidP="00C61D48">
            <w:pPr>
              <w:jc w:val="center"/>
              <w:rPr>
                <w:b/>
              </w:rPr>
            </w:pPr>
          </w:p>
        </w:tc>
      </w:tr>
      <w:tr w:rsidR="00C61D48">
        <w:tc>
          <w:tcPr>
            <w:tcW w:w="2952" w:type="dxa"/>
          </w:tcPr>
          <w:p w:rsidR="00C61D48" w:rsidRDefault="00C61D48" w:rsidP="00AF0958">
            <w:r w:rsidRPr="005C0DD9">
              <w:rPr>
                <w:b/>
              </w:rPr>
              <w:t>Age</w:t>
            </w:r>
            <w:r w:rsidR="00AF0958" w:rsidRPr="005C0DD9">
              <w:rPr>
                <w:b/>
              </w:rPr>
              <w:t>:</w:t>
            </w:r>
            <w:r w:rsidR="00AF0958">
              <w:t xml:space="preserve"> When does second language acquisition begin and how does it progress?</w:t>
            </w:r>
          </w:p>
        </w:tc>
        <w:tc>
          <w:tcPr>
            <w:tcW w:w="5904" w:type="dxa"/>
          </w:tcPr>
          <w:p w:rsidR="00C61D48" w:rsidRDefault="008F4FB4" w:rsidP="00C61D48">
            <w:r>
              <w:t xml:space="preserve">SLA can begin at any age or stage in life. </w:t>
            </w:r>
            <w:r w:rsidR="001E70C8">
              <w:t xml:space="preserve">SLA can begin when </w:t>
            </w:r>
            <w:r>
              <w:t xml:space="preserve">a student is </w:t>
            </w:r>
            <w:r w:rsidR="001E70C8">
              <w:t xml:space="preserve">placed in a school system when the student </w:t>
            </w:r>
            <w:r w:rsidR="00DD2EBE">
              <w:t>has entered</w:t>
            </w:r>
            <w:r>
              <w:t xml:space="preserve"> a new country. </w:t>
            </w:r>
            <w:r w:rsidR="001E70C8">
              <w:t>S</w:t>
            </w:r>
            <w:r>
              <w:t>LA can</w:t>
            </w:r>
            <w:r w:rsidR="001E70C8">
              <w:t xml:space="preserve"> begin at birth where L1 and L2 are spoken by parents</w:t>
            </w:r>
            <w:r>
              <w:t>.</w:t>
            </w:r>
            <w:r w:rsidR="000835E9">
              <w:t xml:space="preserve"> </w:t>
            </w:r>
            <w:r>
              <w:t xml:space="preserve">SLA can also occur when just being in and surrounded by the culture L2 is spoken. </w:t>
            </w:r>
            <w:r w:rsidR="00DD2EBE">
              <w:t>SLA progresses within 5 stages:</w:t>
            </w:r>
            <w:r w:rsidR="000835E9">
              <w:t xml:space="preserve"> </w:t>
            </w:r>
            <w:r w:rsidR="00DD2EBE">
              <w:t>p</w:t>
            </w:r>
            <w:r>
              <w:t>re production</w:t>
            </w:r>
            <w:r w:rsidR="00DD2EBE">
              <w:t xml:space="preserve">, early production, speech emergence, intermediate fluency, and advanced fluency. </w:t>
            </w:r>
          </w:p>
          <w:p w:rsidR="00C61D48" w:rsidRDefault="00C61D48" w:rsidP="00C61D48"/>
        </w:tc>
      </w:tr>
      <w:tr w:rsidR="00AF0958" w:rsidTr="00AF0958">
        <w:tc>
          <w:tcPr>
            <w:tcW w:w="2952" w:type="dxa"/>
            <w:shd w:val="clear" w:color="auto" w:fill="C4BC96" w:themeFill="background2" w:themeFillShade="BF"/>
          </w:tcPr>
          <w:p w:rsidR="00AF0958" w:rsidRDefault="00AF0958" w:rsidP="00AF0958"/>
        </w:tc>
        <w:tc>
          <w:tcPr>
            <w:tcW w:w="5904" w:type="dxa"/>
            <w:shd w:val="clear" w:color="auto" w:fill="C4BC96" w:themeFill="background2" w:themeFillShade="BF"/>
          </w:tcPr>
          <w:p w:rsidR="00AF0958" w:rsidRDefault="00AF0958" w:rsidP="00C61D48"/>
        </w:tc>
      </w:tr>
      <w:tr w:rsidR="00C61D48">
        <w:tc>
          <w:tcPr>
            <w:tcW w:w="2952" w:type="dxa"/>
          </w:tcPr>
          <w:p w:rsidR="00C61D48" w:rsidRDefault="00C61D48" w:rsidP="00AF0958">
            <w:r w:rsidRPr="005C0DD9">
              <w:rPr>
                <w:b/>
              </w:rPr>
              <w:t>Sound System</w:t>
            </w:r>
            <w:r w:rsidR="00AF0958" w:rsidRPr="005C0DD9">
              <w:rPr>
                <w:b/>
              </w:rPr>
              <w:t>:</w:t>
            </w:r>
            <w:r w:rsidR="00AF0958">
              <w:t xml:space="preserve"> How do second language learners learn the sound system and rules of the second </w:t>
            </w:r>
            <w:r w:rsidR="00AF0958">
              <w:lastRenderedPageBreak/>
              <w:t>language?</w:t>
            </w:r>
          </w:p>
        </w:tc>
        <w:tc>
          <w:tcPr>
            <w:tcW w:w="5904" w:type="dxa"/>
          </w:tcPr>
          <w:p w:rsidR="00C61D48" w:rsidRDefault="000835E9" w:rsidP="000835E9">
            <w:pPr>
              <w:pStyle w:val="ListParagraph"/>
              <w:ind w:left="360"/>
            </w:pPr>
            <w:r>
              <w:lastRenderedPageBreak/>
              <w:t>Sounds and rules can be learned by acquisition if they are immersed in the L2 environment at an early age.</w:t>
            </w:r>
            <w:r w:rsidR="00DD2EBE">
              <w:t xml:space="preserve"> Students can learn the sound system and rules of L2 in a school setting. Also, they can be </w:t>
            </w:r>
            <w:r w:rsidR="00DD2EBE">
              <w:lastRenderedPageBreak/>
              <w:t xml:space="preserve">learned by borrowing and comparing to L1, also known as </w:t>
            </w:r>
            <w:proofErr w:type="spellStart"/>
            <w:r w:rsidR="00DD2EBE">
              <w:t>interlanguage</w:t>
            </w:r>
            <w:proofErr w:type="spellEnd"/>
            <w:r w:rsidR="00DD2EBE">
              <w:t>.</w:t>
            </w:r>
            <w:r>
              <w:t xml:space="preserve">  </w:t>
            </w:r>
          </w:p>
        </w:tc>
      </w:tr>
      <w:tr w:rsidR="00AF0958" w:rsidTr="00AF0958">
        <w:tc>
          <w:tcPr>
            <w:tcW w:w="2952" w:type="dxa"/>
            <w:shd w:val="clear" w:color="auto" w:fill="C4BC96" w:themeFill="background2" w:themeFillShade="BF"/>
          </w:tcPr>
          <w:p w:rsidR="00AF0958" w:rsidRDefault="00AF0958" w:rsidP="00AF0958"/>
        </w:tc>
        <w:tc>
          <w:tcPr>
            <w:tcW w:w="5904" w:type="dxa"/>
            <w:shd w:val="clear" w:color="auto" w:fill="C4BC96" w:themeFill="background2" w:themeFillShade="BF"/>
          </w:tcPr>
          <w:p w:rsidR="00AF0958" w:rsidRDefault="00AF0958" w:rsidP="00AF0958">
            <w:pPr>
              <w:pStyle w:val="ListParagraph"/>
              <w:ind w:left="360"/>
            </w:pPr>
          </w:p>
        </w:tc>
      </w:tr>
      <w:tr w:rsidR="00C61D48">
        <w:tc>
          <w:tcPr>
            <w:tcW w:w="2952" w:type="dxa"/>
          </w:tcPr>
          <w:p w:rsidR="00C61D48" w:rsidRDefault="00C61D48" w:rsidP="00AF0958">
            <w:r w:rsidRPr="005C0DD9">
              <w:rPr>
                <w:b/>
              </w:rPr>
              <w:t>Learning Environment</w:t>
            </w:r>
            <w:r w:rsidR="00AF0958" w:rsidRPr="005C0DD9">
              <w:rPr>
                <w:b/>
              </w:rPr>
              <w:t>:</w:t>
            </w:r>
            <w:r w:rsidR="00AF0958">
              <w:t xml:space="preserve"> Where does early L2 language acquisition take place and under what type of conditions?</w:t>
            </w:r>
          </w:p>
        </w:tc>
        <w:tc>
          <w:tcPr>
            <w:tcW w:w="5904" w:type="dxa"/>
          </w:tcPr>
          <w:p w:rsidR="00C61D48" w:rsidRDefault="000835E9" w:rsidP="00AF0958">
            <w:pPr>
              <w:pStyle w:val="ListParagraph"/>
              <w:ind w:left="360"/>
            </w:pPr>
            <w:r>
              <w:t xml:space="preserve">L2 language acquisition takes place in a school setting where students are instructed primarily in L2 </w:t>
            </w:r>
            <w:r w:rsidR="009A5DA3">
              <w:t xml:space="preserve">and surrounded by the language. L2 language acquisition can also take place in the public environment if students are living </w:t>
            </w:r>
            <w:r w:rsidR="00DD2EBE">
              <w:t>with</w:t>
            </w:r>
            <w:r w:rsidR="009A5DA3">
              <w:t xml:space="preserve">in that culture. </w:t>
            </w:r>
          </w:p>
        </w:tc>
      </w:tr>
      <w:tr w:rsidR="00AF0958" w:rsidTr="00AF0958">
        <w:tc>
          <w:tcPr>
            <w:tcW w:w="2952" w:type="dxa"/>
            <w:shd w:val="clear" w:color="auto" w:fill="C4BC96" w:themeFill="background2" w:themeFillShade="BF"/>
          </w:tcPr>
          <w:p w:rsidR="00AF0958" w:rsidRDefault="00AF0958" w:rsidP="00AF0958"/>
        </w:tc>
        <w:tc>
          <w:tcPr>
            <w:tcW w:w="5904" w:type="dxa"/>
            <w:shd w:val="clear" w:color="auto" w:fill="C4BC96" w:themeFill="background2" w:themeFillShade="BF"/>
          </w:tcPr>
          <w:p w:rsidR="00AF0958" w:rsidRDefault="00AF0958" w:rsidP="00AF0958">
            <w:pPr>
              <w:pStyle w:val="ListParagraph"/>
              <w:ind w:left="360"/>
            </w:pPr>
          </w:p>
        </w:tc>
      </w:tr>
      <w:tr w:rsidR="00C61D48">
        <w:tc>
          <w:tcPr>
            <w:tcW w:w="2952" w:type="dxa"/>
          </w:tcPr>
          <w:p w:rsidR="00C61D48" w:rsidRDefault="00C61D48" w:rsidP="00AF0958">
            <w:r w:rsidRPr="005C0DD9">
              <w:rPr>
                <w:b/>
              </w:rPr>
              <w:t>Related Factors</w:t>
            </w:r>
            <w:r w:rsidR="00AF0958" w:rsidRPr="005C0DD9">
              <w:rPr>
                <w:b/>
              </w:rPr>
              <w:t>:</w:t>
            </w:r>
            <w:r w:rsidR="00AF0958">
              <w:t xml:space="preserve"> What is </w:t>
            </w:r>
            <w:proofErr w:type="spellStart"/>
            <w:r w:rsidR="00AF0958">
              <w:t>interlanguage</w:t>
            </w:r>
            <w:proofErr w:type="spellEnd"/>
            <w:r w:rsidR="00AF0958">
              <w:t xml:space="preserve"> and fossilization and how do these things impact SLA?</w:t>
            </w:r>
          </w:p>
        </w:tc>
        <w:tc>
          <w:tcPr>
            <w:tcW w:w="5904" w:type="dxa"/>
          </w:tcPr>
          <w:p w:rsidR="00C61D48" w:rsidRDefault="00FA3BBE" w:rsidP="00AF0958">
            <w:pPr>
              <w:pStyle w:val="ListParagraph"/>
              <w:ind w:left="360"/>
            </w:pPr>
            <w:proofErr w:type="spellStart"/>
            <w:r>
              <w:t>Interlanguage</w:t>
            </w:r>
            <w:proofErr w:type="spellEnd"/>
            <w:r>
              <w:t xml:space="preserve"> is compromise system </w:t>
            </w:r>
            <w:r w:rsidR="004D4AE5">
              <w:t xml:space="preserve">of using L1 to learn and develop L2. This can aid in learning a new language system because people have knowledge in L1. Some rules and vocabulary could be similar, which make L2 that much easier. With </w:t>
            </w:r>
            <w:proofErr w:type="spellStart"/>
            <w:r w:rsidR="004D4AE5">
              <w:t>interlanguage</w:t>
            </w:r>
            <w:proofErr w:type="spellEnd"/>
            <w:r w:rsidR="004D4AE5">
              <w:t xml:space="preserve"> comes fossilization. Fossilization is errors being made permanent. This can be a problem because permanent mistakes could hinder L2 from progressing. </w:t>
            </w:r>
          </w:p>
        </w:tc>
      </w:tr>
      <w:tr w:rsidR="00AF0958" w:rsidTr="00AF0958">
        <w:tc>
          <w:tcPr>
            <w:tcW w:w="2952" w:type="dxa"/>
            <w:shd w:val="clear" w:color="auto" w:fill="C4BC96" w:themeFill="background2" w:themeFillShade="BF"/>
          </w:tcPr>
          <w:p w:rsidR="00AF0958" w:rsidRDefault="00AF0958" w:rsidP="00AF0958"/>
        </w:tc>
        <w:tc>
          <w:tcPr>
            <w:tcW w:w="5904" w:type="dxa"/>
            <w:shd w:val="clear" w:color="auto" w:fill="C4BC96" w:themeFill="background2" w:themeFillShade="BF"/>
          </w:tcPr>
          <w:p w:rsidR="00AF0958" w:rsidRDefault="00AF0958" w:rsidP="00AF0958">
            <w:pPr>
              <w:pStyle w:val="ListParagraph"/>
              <w:ind w:left="360"/>
            </w:pPr>
          </w:p>
        </w:tc>
      </w:tr>
    </w:tbl>
    <w:p w:rsidR="00E76105" w:rsidRDefault="00E76105" w:rsidP="00E76105"/>
    <w:p w:rsidR="00DD2EBE" w:rsidRDefault="00DD2EBE" w:rsidP="00E76105"/>
    <w:p w:rsidR="00DD2EBE" w:rsidRDefault="00DD2EBE" w:rsidP="00DD2EBE">
      <w:pPr>
        <w:pStyle w:val="NormalWeb"/>
        <w:rPr>
          <w:rFonts w:ascii="Verdana" w:hAnsi="Verdana"/>
          <w:sz w:val="17"/>
          <w:szCs w:val="17"/>
        </w:rPr>
      </w:pPr>
      <w:r>
        <w:rPr>
          <w:rFonts w:ascii="Verdana" w:hAnsi="Verdana"/>
          <w:sz w:val="17"/>
          <w:szCs w:val="17"/>
        </w:rPr>
        <w:t>MIDDLE TENNESSEE STATE UNIVERSITY Honor Statement:</w:t>
      </w:r>
    </w:p>
    <w:p w:rsidR="00DD2EBE" w:rsidRDefault="00DD2EBE" w:rsidP="00DD2EBE">
      <w:pPr>
        <w:pStyle w:val="NormalWeb"/>
        <w:rPr>
          <w:rFonts w:ascii="Verdana" w:hAnsi="Verdana"/>
          <w:sz w:val="17"/>
          <w:szCs w:val="17"/>
        </w:rPr>
      </w:pPr>
      <w:r>
        <w:rPr>
          <w:rFonts w:ascii="Verdana" w:hAnsi="Verdana"/>
          <w:sz w:val="17"/>
          <w:szCs w:val="17"/>
        </w:rPr>
        <w:t>This assignment/assessment was solely written by me. In no way have I, Jennifer Lloyd, plagiarized (represented the work of another as my own) or otherwise violated the copyright laws and academic conventions of fair use. I know that violations of this policy may result in my being dismissed from Middle Tennessee State University and/or appropriate legal action being taken against me. Signed (submitting this statement to Teaching Faculty with student's name typed below constitutes signing):</w:t>
      </w:r>
    </w:p>
    <w:p w:rsidR="00DD2EBE" w:rsidRDefault="00DD2EBE" w:rsidP="00DD2EBE">
      <w:pPr>
        <w:pStyle w:val="NormalWeb"/>
        <w:rPr>
          <w:rFonts w:ascii="Verdana" w:hAnsi="Verdana"/>
          <w:sz w:val="17"/>
          <w:szCs w:val="17"/>
        </w:rPr>
      </w:pPr>
      <w:r>
        <w:rPr>
          <w:rFonts w:ascii="Verdana" w:hAnsi="Verdana"/>
          <w:sz w:val="17"/>
          <w:szCs w:val="17"/>
        </w:rPr>
        <w:t>Jennifer Lloyd</w:t>
      </w:r>
    </w:p>
    <w:p w:rsidR="00DD2EBE" w:rsidRDefault="00DD2EBE" w:rsidP="00DD2EBE">
      <w:pPr>
        <w:pStyle w:val="NormalWeb"/>
        <w:rPr>
          <w:rFonts w:ascii="Verdana" w:hAnsi="Verdana"/>
          <w:sz w:val="17"/>
          <w:szCs w:val="17"/>
        </w:rPr>
      </w:pPr>
      <w:r>
        <w:rPr>
          <w:rFonts w:ascii="Verdana" w:hAnsi="Verdana"/>
          <w:sz w:val="17"/>
          <w:szCs w:val="17"/>
        </w:rPr>
        <w:t>5-20-11</w:t>
      </w:r>
    </w:p>
    <w:p w:rsidR="00DD2EBE" w:rsidRDefault="00DD2EBE" w:rsidP="00E76105"/>
    <w:p w:rsidR="00FA3BBE" w:rsidRDefault="00FA3BBE" w:rsidP="00E76105"/>
    <w:sectPr w:rsidR="00FA3BBE" w:rsidSect="00FF0B40">
      <w:head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946" w:rsidRDefault="002A3946" w:rsidP="00C04A96">
      <w:pPr>
        <w:spacing w:after="0"/>
      </w:pPr>
      <w:r>
        <w:separator/>
      </w:r>
    </w:p>
  </w:endnote>
  <w:endnote w:type="continuationSeparator" w:id="0">
    <w:p w:rsidR="002A3946" w:rsidRDefault="002A3946" w:rsidP="00C04A9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946" w:rsidRDefault="002A3946" w:rsidP="00C04A96">
      <w:pPr>
        <w:spacing w:after="0"/>
      </w:pPr>
      <w:r>
        <w:separator/>
      </w:r>
    </w:p>
  </w:footnote>
  <w:footnote w:type="continuationSeparator" w:id="0">
    <w:p w:rsidR="002A3946" w:rsidRDefault="002A3946" w:rsidP="00C04A9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E9" w:rsidRDefault="00A57049" w:rsidP="00C61D48">
    <w:pPr>
      <w:pStyle w:val="Header"/>
      <w:jc w:val="right"/>
    </w:pPr>
    <w:r>
      <w:t>May 20, 2011</w:t>
    </w:r>
    <w:r>
      <w:ptab w:relativeTo="margin" w:alignment="center" w:leader="none"/>
    </w:r>
    <w:r>
      <w:t>SPSE 6020</w:t>
    </w:r>
    <w:r>
      <w:ptab w:relativeTo="margin" w:alignment="right" w:leader="none"/>
    </w:r>
    <w:r>
      <w:t>Jennifer Lloyd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7675E"/>
    <w:multiLevelType w:val="hybridMultilevel"/>
    <w:tmpl w:val="BD7491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DE6D88"/>
    <w:multiLevelType w:val="hybridMultilevel"/>
    <w:tmpl w:val="7C8C9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7A478A3"/>
    <w:multiLevelType w:val="hybridMultilevel"/>
    <w:tmpl w:val="AB94CF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92555A8"/>
    <w:multiLevelType w:val="hybridMultilevel"/>
    <w:tmpl w:val="913AE4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61F6433"/>
    <w:multiLevelType w:val="hybridMultilevel"/>
    <w:tmpl w:val="9E0E04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C61D48"/>
    <w:rsid w:val="000835E9"/>
    <w:rsid w:val="000D086B"/>
    <w:rsid w:val="001B01E0"/>
    <w:rsid w:val="001E70C8"/>
    <w:rsid w:val="002A3946"/>
    <w:rsid w:val="00492CEC"/>
    <w:rsid w:val="004D4AE5"/>
    <w:rsid w:val="005C0DD9"/>
    <w:rsid w:val="00735F49"/>
    <w:rsid w:val="00814B92"/>
    <w:rsid w:val="008F4FB4"/>
    <w:rsid w:val="009A5DA3"/>
    <w:rsid w:val="00A57049"/>
    <w:rsid w:val="00AF0958"/>
    <w:rsid w:val="00C04A96"/>
    <w:rsid w:val="00C61D48"/>
    <w:rsid w:val="00DD2EBE"/>
    <w:rsid w:val="00E76105"/>
    <w:rsid w:val="00FA3BBE"/>
    <w:rsid w:val="00FF0B4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1F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61D48"/>
    <w:pPr>
      <w:tabs>
        <w:tab w:val="center" w:pos="4320"/>
        <w:tab w:val="right" w:pos="8640"/>
      </w:tabs>
      <w:spacing w:after="0"/>
    </w:pPr>
  </w:style>
  <w:style w:type="character" w:customStyle="1" w:styleId="HeaderChar">
    <w:name w:val="Header Char"/>
    <w:basedOn w:val="DefaultParagraphFont"/>
    <w:link w:val="Header"/>
    <w:uiPriority w:val="99"/>
    <w:semiHidden/>
    <w:rsid w:val="00C61D48"/>
    <w:rPr>
      <w:sz w:val="24"/>
      <w:szCs w:val="24"/>
    </w:rPr>
  </w:style>
  <w:style w:type="paragraph" w:styleId="Footer">
    <w:name w:val="footer"/>
    <w:basedOn w:val="Normal"/>
    <w:link w:val="FooterChar"/>
    <w:uiPriority w:val="99"/>
    <w:semiHidden/>
    <w:unhideWhenUsed/>
    <w:rsid w:val="00C61D48"/>
    <w:pPr>
      <w:tabs>
        <w:tab w:val="center" w:pos="4320"/>
        <w:tab w:val="right" w:pos="8640"/>
      </w:tabs>
      <w:spacing w:after="0"/>
    </w:pPr>
  </w:style>
  <w:style w:type="character" w:customStyle="1" w:styleId="FooterChar">
    <w:name w:val="Footer Char"/>
    <w:basedOn w:val="DefaultParagraphFont"/>
    <w:link w:val="Footer"/>
    <w:uiPriority w:val="99"/>
    <w:semiHidden/>
    <w:rsid w:val="00C61D48"/>
    <w:rPr>
      <w:sz w:val="24"/>
      <w:szCs w:val="24"/>
    </w:rPr>
  </w:style>
  <w:style w:type="table" w:styleId="TableGrid">
    <w:name w:val="Table Grid"/>
    <w:basedOn w:val="TableNormal"/>
    <w:uiPriority w:val="59"/>
    <w:rsid w:val="00C61D4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61D48"/>
    <w:pPr>
      <w:ind w:left="720"/>
      <w:contextualSpacing/>
    </w:pPr>
  </w:style>
  <w:style w:type="paragraph" w:styleId="BalloonText">
    <w:name w:val="Balloon Text"/>
    <w:basedOn w:val="Normal"/>
    <w:link w:val="BalloonTextChar"/>
    <w:uiPriority w:val="99"/>
    <w:semiHidden/>
    <w:unhideWhenUsed/>
    <w:rsid w:val="00A5704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049"/>
    <w:rPr>
      <w:rFonts w:ascii="Tahoma" w:hAnsi="Tahoma" w:cs="Tahoma"/>
      <w:sz w:val="16"/>
      <w:szCs w:val="16"/>
    </w:rPr>
  </w:style>
  <w:style w:type="paragraph" w:styleId="NormalWeb">
    <w:name w:val="Normal (Web)"/>
    <w:basedOn w:val="Normal"/>
    <w:uiPriority w:val="99"/>
    <w:semiHidden/>
    <w:unhideWhenUsed/>
    <w:rsid w:val="00DD2EBE"/>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621885456">
      <w:bodyDiv w:val="1"/>
      <w:marLeft w:val="0"/>
      <w:marRight w:val="0"/>
      <w:marTop w:val="0"/>
      <w:marBottom w:val="0"/>
      <w:divBdr>
        <w:top w:val="none" w:sz="0" w:space="0" w:color="auto"/>
        <w:left w:val="none" w:sz="0" w:space="0" w:color="auto"/>
        <w:bottom w:val="none" w:sz="0" w:space="0" w:color="auto"/>
        <w:right w:val="none" w:sz="0" w:space="0" w:color="auto"/>
      </w:divBdr>
      <w:divsChild>
        <w:div w:id="376705563">
          <w:marLeft w:val="0"/>
          <w:marRight w:val="0"/>
          <w:marTop w:val="0"/>
          <w:marBottom w:val="0"/>
          <w:divBdr>
            <w:top w:val="none" w:sz="0" w:space="0" w:color="auto"/>
            <w:left w:val="none" w:sz="0" w:space="0" w:color="auto"/>
            <w:bottom w:val="none" w:sz="0" w:space="0" w:color="auto"/>
            <w:right w:val="none" w:sz="0" w:space="0" w:color="auto"/>
          </w:divBdr>
          <w:divsChild>
            <w:div w:id="81994391">
              <w:marLeft w:val="0"/>
              <w:marRight w:val="0"/>
              <w:marTop w:val="0"/>
              <w:marBottom w:val="0"/>
              <w:divBdr>
                <w:top w:val="none" w:sz="0" w:space="0" w:color="auto"/>
                <w:left w:val="none" w:sz="0" w:space="0" w:color="auto"/>
                <w:bottom w:val="none" w:sz="0" w:space="0" w:color="auto"/>
                <w:right w:val="none" w:sz="0" w:space="0" w:color="auto"/>
              </w:divBdr>
              <w:divsChild>
                <w:div w:id="1868056714">
                  <w:marLeft w:val="0"/>
                  <w:marRight w:val="0"/>
                  <w:marTop w:val="0"/>
                  <w:marBottom w:val="0"/>
                  <w:divBdr>
                    <w:top w:val="none" w:sz="0" w:space="0" w:color="auto"/>
                    <w:left w:val="none" w:sz="0" w:space="0" w:color="auto"/>
                    <w:bottom w:val="none" w:sz="0" w:space="0" w:color="auto"/>
                    <w:right w:val="none" w:sz="0" w:space="0" w:color="auto"/>
                  </w:divBdr>
                  <w:divsChild>
                    <w:div w:id="2022655547">
                      <w:marLeft w:val="0"/>
                      <w:marRight w:val="0"/>
                      <w:marTop w:val="0"/>
                      <w:marBottom w:val="0"/>
                      <w:divBdr>
                        <w:top w:val="none" w:sz="0" w:space="0" w:color="auto"/>
                        <w:left w:val="none" w:sz="0" w:space="0" w:color="auto"/>
                        <w:bottom w:val="none" w:sz="0" w:space="0" w:color="auto"/>
                        <w:right w:val="none" w:sz="0" w:space="0" w:color="auto"/>
                      </w:divBdr>
                      <w:divsChild>
                        <w:div w:id="2142067204">
                          <w:marLeft w:val="0"/>
                          <w:marRight w:val="0"/>
                          <w:marTop w:val="0"/>
                          <w:marBottom w:val="0"/>
                          <w:divBdr>
                            <w:top w:val="none" w:sz="0" w:space="0" w:color="auto"/>
                            <w:left w:val="none" w:sz="0" w:space="0" w:color="auto"/>
                            <w:bottom w:val="none" w:sz="0" w:space="0" w:color="auto"/>
                            <w:right w:val="none" w:sz="0" w:space="0" w:color="auto"/>
                          </w:divBdr>
                          <w:divsChild>
                            <w:div w:id="2034963184">
                              <w:marLeft w:val="0"/>
                              <w:marRight w:val="0"/>
                              <w:marTop w:val="0"/>
                              <w:marBottom w:val="0"/>
                              <w:divBdr>
                                <w:top w:val="none" w:sz="0" w:space="0" w:color="auto"/>
                                <w:left w:val="none" w:sz="0" w:space="0" w:color="auto"/>
                                <w:bottom w:val="none" w:sz="0" w:space="0" w:color="auto"/>
                                <w:right w:val="none" w:sz="0" w:space="0" w:color="auto"/>
                              </w:divBdr>
                              <w:divsChild>
                                <w:div w:id="51662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MTSU</Company>
  <LinksUpToDate>false</LinksUpToDate>
  <CharactersWithSpaces>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Dorothy Craig</dc:creator>
  <cp:lastModifiedBy>jennifer</cp:lastModifiedBy>
  <cp:revision>4</cp:revision>
  <dcterms:created xsi:type="dcterms:W3CDTF">2011-05-20T04:20:00Z</dcterms:created>
  <dcterms:modified xsi:type="dcterms:W3CDTF">2011-05-21T01:26:00Z</dcterms:modified>
</cp:coreProperties>
</file>